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A9" w:rsidRPr="003E70A9" w:rsidRDefault="003E70A9" w:rsidP="003E70A9">
      <w:pPr>
        <w:jc w:val="center"/>
        <w:rPr>
          <w:b/>
        </w:rPr>
      </w:pPr>
      <w:r w:rsidRPr="003E70A9">
        <w:rPr>
          <w:b/>
        </w:rPr>
        <w:t>Workflow</w:t>
      </w:r>
    </w:p>
    <w:p w:rsidR="006E2706" w:rsidRDefault="0031084F">
      <w:r>
        <w:t xml:space="preserve">When establishing the cataloguing workflow, the team took a number of issues into account, which will be elaborated on in this section. First and foremost, the team recognised that it is important that </w:t>
      </w:r>
      <w:r w:rsidR="007D45B3">
        <w:t xml:space="preserve">the cataloguing </w:t>
      </w:r>
      <w:r>
        <w:t>workflow demonstrates best practice</w:t>
      </w:r>
      <w:r w:rsidR="00003658">
        <w:t xml:space="preserve"> (</w:t>
      </w:r>
      <w:r w:rsidR="0093475C">
        <w:t xml:space="preserve">Libraries </w:t>
      </w:r>
      <w:r w:rsidR="00003658">
        <w:t>Australia</w:t>
      </w:r>
      <w:r w:rsidR="0093475C">
        <w:t xml:space="preserve">, </w:t>
      </w:r>
      <w:proofErr w:type="spellStart"/>
      <w:r w:rsidR="0093475C">
        <w:t>n.d</w:t>
      </w:r>
      <w:proofErr w:type="spellEnd"/>
      <w:r w:rsidR="0093475C">
        <w:t>.</w:t>
      </w:r>
      <w:r w:rsidR="008F799A">
        <w:t>)</w:t>
      </w:r>
      <w:r>
        <w:t>. It needs to be effective and efficient, in order to ensure a quality service for library patrons</w:t>
      </w:r>
      <w:r w:rsidR="00E27C26">
        <w:t>. Equally, the team recognised</w:t>
      </w:r>
      <w:r>
        <w:t xml:space="preserve"> the limit</w:t>
      </w:r>
      <w:r w:rsidR="00E27C26">
        <w:t>ations</w:t>
      </w:r>
      <w:r>
        <w:t xml:space="preserve"> of </w:t>
      </w:r>
      <w:r w:rsidR="00E27C26">
        <w:t xml:space="preserve">the </w:t>
      </w:r>
      <w:r>
        <w:t>resources available to the library</w:t>
      </w:r>
      <w:r w:rsidR="00E27C26">
        <w:t xml:space="preserve">, </w:t>
      </w:r>
      <w:r w:rsidR="00371D81">
        <w:t xml:space="preserve">such as staffing and budgets, </w:t>
      </w:r>
      <w:r w:rsidR="00E27C26">
        <w:t>and how th</w:t>
      </w:r>
      <w:r w:rsidR="00371D81">
        <w:t>ese</w:t>
      </w:r>
      <w:r w:rsidR="00E27C26">
        <w:t xml:space="preserve"> will affect workflow</w:t>
      </w:r>
      <w:r>
        <w:t>.</w:t>
      </w:r>
      <w:r w:rsidR="00E27C26">
        <w:t xml:space="preserve"> As such, it is important to strike a balance between these two things: to ensure a consistent and quality service</w:t>
      </w:r>
      <w:r w:rsidR="00C948E0">
        <w:t xml:space="preserve"> for patrons</w:t>
      </w:r>
      <w:r w:rsidR="008F799A">
        <w:t xml:space="preserve">, while </w:t>
      </w:r>
      <w:r w:rsidR="00E27C26">
        <w:t>not over-stretching the resources available</w:t>
      </w:r>
      <w:r w:rsidR="006E2706">
        <w:t xml:space="preserve"> to the library</w:t>
      </w:r>
      <w:r w:rsidR="00F547E1">
        <w:t xml:space="preserve">. </w:t>
      </w:r>
    </w:p>
    <w:p w:rsidR="008A6597" w:rsidRDefault="00F547E1">
      <w:r>
        <w:t>To establish best practice, the requirements for cataloguing ‘have to be clear and well documented’, so that staff will know exactly ‘what they are expected to achieve</w:t>
      </w:r>
      <w:r w:rsidR="0093475C">
        <w:t xml:space="preserve"> and be committed to that’ (Libraries Australia, </w:t>
      </w:r>
      <w:proofErr w:type="spellStart"/>
      <w:r w:rsidR="0093475C">
        <w:t>n.d</w:t>
      </w:r>
      <w:proofErr w:type="spellEnd"/>
      <w:r w:rsidR="0093475C">
        <w:t>.</w:t>
      </w:r>
      <w:r>
        <w:t>).</w:t>
      </w:r>
      <w:r w:rsidR="007448E3">
        <w:t xml:space="preserve"> </w:t>
      </w:r>
      <w:r w:rsidR="00371D81">
        <w:t xml:space="preserve">What also </w:t>
      </w:r>
      <w:r w:rsidR="006E2706">
        <w:t xml:space="preserve">needs to be </w:t>
      </w:r>
      <w:r w:rsidR="00B939B7">
        <w:t xml:space="preserve">clearly </w:t>
      </w:r>
      <w:r w:rsidR="006E2706">
        <w:t xml:space="preserve">established is </w:t>
      </w:r>
      <w:r w:rsidR="005A17C6">
        <w:t xml:space="preserve">how </w:t>
      </w:r>
      <w:r w:rsidR="006E2706">
        <w:t xml:space="preserve">staff will be </w:t>
      </w:r>
      <w:r w:rsidR="005A17C6">
        <w:t xml:space="preserve">co-ordinated within this workflow, and </w:t>
      </w:r>
      <w:r w:rsidR="00371D81">
        <w:t xml:space="preserve">at </w:t>
      </w:r>
      <w:r w:rsidR="005A17C6">
        <w:t>wh</w:t>
      </w:r>
      <w:r w:rsidR="003E70A9">
        <w:t xml:space="preserve">at stages of this workflow </w:t>
      </w:r>
      <w:r w:rsidR="005A17C6">
        <w:t>they</w:t>
      </w:r>
      <w:r w:rsidR="003E70A9">
        <w:t xml:space="preserve"> will</w:t>
      </w:r>
      <w:r w:rsidR="005A17C6">
        <w:t xml:space="preserve"> be involved</w:t>
      </w:r>
      <w:r w:rsidR="006E2706">
        <w:t xml:space="preserve">. In large libraries, </w:t>
      </w:r>
      <w:r w:rsidR="005A17C6">
        <w:t xml:space="preserve">workflow </w:t>
      </w:r>
      <w:r w:rsidR="003E70A9">
        <w:t>tasks are often</w:t>
      </w:r>
      <w:r w:rsidR="007448E3">
        <w:t xml:space="preserve"> divided up between </w:t>
      </w:r>
      <w:r w:rsidR="006E2706">
        <w:t>acquisitions</w:t>
      </w:r>
      <w:r w:rsidR="007448E3">
        <w:t xml:space="preserve"> staff</w:t>
      </w:r>
      <w:r w:rsidR="006E2706">
        <w:t xml:space="preserve"> </w:t>
      </w:r>
      <w:r w:rsidR="007448E3">
        <w:t xml:space="preserve">and </w:t>
      </w:r>
      <w:r w:rsidR="006E2706">
        <w:t>technical services</w:t>
      </w:r>
      <w:r w:rsidR="007448E3">
        <w:t xml:space="preserve"> staff</w:t>
      </w:r>
      <w:r w:rsidR="006E2706">
        <w:t xml:space="preserve">. </w:t>
      </w:r>
      <w:r w:rsidR="005A17C6">
        <w:t>However, at</w:t>
      </w:r>
      <w:r w:rsidR="007448E3">
        <w:t xml:space="preserve"> the school library we are investigating, there is </w:t>
      </w:r>
      <w:r w:rsidR="005A17C6">
        <w:t>only one full-time librari</w:t>
      </w:r>
      <w:r w:rsidR="007448E3">
        <w:t>an</w:t>
      </w:r>
      <w:r w:rsidR="00371D81">
        <w:t>,</w:t>
      </w:r>
      <w:r w:rsidR="005A17C6">
        <w:t xml:space="preserve"> one</w:t>
      </w:r>
      <w:r w:rsidR="00B939B7">
        <w:t xml:space="preserve"> full-time </w:t>
      </w:r>
      <w:r w:rsidR="005A17C6">
        <w:t xml:space="preserve">library assistant, and two part-time student </w:t>
      </w:r>
      <w:proofErr w:type="spellStart"/>
      <w:r w:rsidR="005A17C6">
        <w:t>shelvers</w:t>
      </w:r>
      <w:proofErr w:type="spellEnd"/>
      <w:r w:rsidR="005A17C6">
        <w:t>.</w:t>
      </w:r>
      <w:r w:rsidR="007448E3">
        <w:t xml:space="preserve"> </w:t>
      </w:r>
      <w:r w:rsidR="005A17C6">
        <w:t xml:space="preserve">Due to the low numbers of staff, the team proposes an </w:t>
      </w:r>
      <w:r w:rsidR="007448E3">
        <w:t>i</w:t>
      </w:r>
      <w:r w:rsidR="006E2706">
        <w:t xml:space="preserve">ntegrated </w:t>
      </w:r>
      <w:r w:rsidR="005A17C6">
        <w:t>workflow, wh</w:t>
      </w:r>
      <w:r w:rsidR="00371D81">
        <w:t>ere acquisitions and technical services</w:t>
      </w:r>
      <w:r w:rsidR="006E2706">
        <w:t xml:space="preserve"> </w:t>
      </w:r>
      <w:r w:rsidR="00371D81">
        <w:t>duties</w:t>
      </w:r>
      <w:r w:rsidR="006E2706">
        <w:t xml:space="preserve"> </w:t>
      </w:r>
      <w:r w:rsidR="00371D81">
        <w:t>are carried out by the one full-time librarian. We also propose that the librar</w:t>
      </w:r>
      <w:r w:rsidR="00B939B7">
        <w:t>y assistant</w:t>
      </w:r>
      <w:r w:rsidR="00371D81">
        <w:t xml:space="preserve"> be trained into performing these duties, so that in times of increased </w:t>
      </w:r>
      <w:r w:rsidR="00B939B7">
        <w:t>acquisition</w:t>
      </w:r>
      <w:r w:rsidR="00371D81">
        <w:t xml:space="preserve">, </w:t>
      </w:r>
      <w:r w:rsidR="003E70A9">
        <w:t>he/</w:t>
      </w:r>
      <w:r w:rsidR="00371D81">
        <w:t>she can provide greater assistance in the cataloguing workflow.</w:t>
      </w:r>
      <w:r w:rsidR="00685000">
        <w:t xml:space="preserve"> </w:t>
      </w:r>
    </w:p>
    <w:p w:rsidR="005531D7" w:rsidRDefault="005531D7">
      <w:proofErr w:type="gramStart"/>
      <w:r>
        <w:t>Table 1.</w:t>
      </w:r>
      <w:proofErr w:type="gramEnd"/>
      <w:r>
        <w:t xml:space="preserve"> </w:t>
      </w:r>
      <w:proofErr w:type="gramStart"/>
      <w:r>
        <w:t>Cataloguing Workflow</w:t>
      </w:r>
      <w:r w:rsidR="008A6597">
        <w:t>.</w:t>
      </w:r>
      <w:proofErr w:type="gramEnd"/>
    </w:p>
    <w:tbl>
      <w:tblPr>
        <w:tblStyle w:val="TableGrid"/>
        <w:tblW w:w="0" w:type="auto"/>
        <w:tblLook w:val="04A0"/>
      </w:tblPr>
      <w:tblGrid>
        <w:gridCol w:w="3080"/>
        <w:gridCol w:w="5533"/>
      </w:tblGrid>
      <w:tr w:rsidR="00920D18" w:rsidTr="008A6597">
        <w:trPr>
          <w:trHeight w:val="567"/>
        </w:trPr>
        <w:tc>
          <w:tcPr>
            <w:tcW w:w="8613" w:type="dxa"/>
            <w:gridSpan w:val="2"/>
            <w:vAlign w:val="center"/>
          </w:tcPr>
          <w:p w:rsidR="00920D18" w:rsidRPr="005531D7" w:rsidRDefault="005531D7" w:rsidP="008A6597">
            <w:pPr>
              <w:rPr>
                <w:b/>
              </w:rPr>
            </w:pPr>
            <w:r w:rsidRPr="005531D7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="00920D18" w:rsidRPr="005531D7">
              <w:rPr>
                <w:b/>
              </w:rPr>
              <w:t>Receive resources from supplier</w:t>
            </w:r>
          </w:p>
        </w:tc>
      </w:tr>
      <w:tr w:rsidR="005531D7" w:rsidTr="008A6597">
        <w:trPr>
          <w:trHeight w:val="567"/>
        </w:trPr>
        <w:tc>
          <w:tcPr>
            <w:tcW w:w="8613" w:type="dxa"/>
            <w:gridSpan w:val="2"/>
            <w:vAlign w:val="center"/>
          </w:tcPr>
          <w:p w:rsidR="005531D7" w:rsidRDefault="005531D7" w:rsidP="008A6597">
            <w:r>
              <w:rPr>
                <w:b/>
              </w:rPr>
              <w:t xml:space="preserve">2. </w:t>
            </w:r>
            <w:r w:rsidRPr="00920D18">
              <w:rPr>
                <w:b/>
              </w:rPr>
              <w:t>Search Local Catalogue</w:t>
            </w:r>
          </w:p>
        </w:tc>
      </w:tr>
      <w:tr w:rsidR="00920D18" w:rsidTr="008A6597">
        <w:trPr>
          <w:trHeight w:val="567"/>
        </w:trPr>
        <w:tc>
          <w:tcPr>
            <w:tcW w:w="3080" w:type="dxa"/>
            <w:vAlign w:val="center"/>
          </w:tcPr>
          <w:p w:rsidR="00920D18" w:rsidRDefault="00920D18" w:rsidP="008A6597">
            <w:r>
              <w:t>If found</w:t>
            </w:r>
          </w:p>
        </w:tc>
        <w:tc>
          <w:tcPr>
            <w:tcW w:w="5533" w:type="dxa"/>
            <w:vAlign w:val="center"/>
          </w:tcPr>
          <w:p w:rsidR="00920D18" w:rsidRDefault="00920D18" w:rsidP="008A6597">
            <w:r>
              <w:t>Add holding in local system</w:t>
            </w:r>
            <w:r w:rsidR="008A6597">
              <w:t>. Skip to stage 4.</w:t>
            </w:r>
          </w:p>
        </w:tc>
      </w:tr>
      <w:tr w:rsidR="00920D18" w:rsidTr="008A6597">
        <w:trPr>
          <w:trHeight w:val="567"/>
        </w:trPr>
        <w:tc>
          <w:tcPr>
            <w:tcW w:w="3080" w:type="dxa"/>
            <w:vAlign w:val="center"/>
          </w:tcPr>
          <w:p w:rsidR="00920D18" w:rsidRDefault="00920D18" w:rsidP="008A6597">
            <w:r>
              <w:t>If not found</w:t>
            </w:r>
          </w:p>
        </w:tc>
        <w:tc>
          <w:tcPr>
            <w:tcW w:w="5533" w:type="dxa"/>
            <w:vAlign w:val="center"/>
          </w:tcPr>
          <w:p w:rsidR="00920D18" w:rsidRDefault="00920D18" w:rsidP="008A6597">
            <w:r>
              <w:t xml:space="preserve">Search </w:t>
            </w:r>
            <w:proofErr w:type="spellStart"/>
            <w:r>
              <w:t>Worldcat</w:t>
            </w:r>
            <w:proofErr w:type="spellEnd"/>
            <w:r>
              <w:t xml:space="preserve"> </w:t>
            </w:r>
          </w:p>
        </w:tc>
      </w:tr>
      <w:tr w:rsidR="005531D7" w:rsidTr="008A6597">
        <w:trPr>
          <w:trHeight w:val="567"/>
        </w:trPr>
        <w:tc>
          <w:tcPr>
            <w:tcW w:w="8613" w:type="dxa"/>
            <w:gridSpan w:val="2"/>
            <w:vAlign w:val="center"/>
          </w:tcPr>
          <w:p w:rsidR="005531D7" w:rsidRDefault="005531D7" w:rsidP="008A6597">
            <w:r>
              <w:rPr>
                <w:b/>
              </w:rPr>
              <w:t xml:space="preserve">3. Search </w:t>
            </w:r>
            <w:proofErr w:type="spellStart"/>
            <w:r>
              <w:rPr>
                <w:b/>
              </w:rPr>
              <w:t>Worldcat</w:t>
            </w:r>
            <w:proofErr w:type="spellEnd"/>
          </w:p>
        </w:tc>
      </w:tr>
      <w:tr w:rsidR="00920D18" w:rsidTr="008A6597">
        <w:trPr>
          <w:trHeight w:val="567"/>
        </w:trPr>
        <w:tc>
          <w:tcPr>
            <w:tcW w:w="3080" w:type="dxa"/>
            <w:vAlign w:val="center"/>
          </w:tcPr>
          <w:p w:rsidR="00920D18" w:rsidRDefault="00920D18" w:rsidP="008A6597">
            <w:r>
              <w:t>If found</w:t>
            </w:r>
          </w:p>
        </w:tc>
        <w:tc>
          <w:tcPr>
            <w:tcW w:w="5533" w:type="dxa"/>
            <w:vAlign w:val="center"/>
          </w:tcPr>
          <w:p w:rsidR="00920D18" w:rsidRDefault="00920D18" w:rsidP="008A6597">
            <w:r>
              <w:t>Add holding online and download record to local system</w:t>
            </w:r>
          </w:p>
        </w:tc>
      </w:tr>
      <w:tr w:rsidR="00920D18" w:rsidTr="008A6597">
        <w:trPr>
          <w:trHeight w:val="567"/>
        </w:trPr>
        <w:tc>
          <w:tcPr>
            <w:tcW w:w="3080" w:type="dxa"/>
            <w:vAlign w:val="center"/>
          </w:tcPr>
          <w:p w:rsidR="00920D18" w:rsidRDefault="00920D18" w:rsidP="008A6597">
            <w:r>
              <w:t>If not found</w:t>
            </w:r>
          </w:p>
        </w:tc>
        <w:tc>
          <w:tcPr>
            <w:tcW w:w="5533" w:type="dxa"/>
            <w:vAlign w:val="center"/>
          </w:tcPr>
          <w:p w:rsidR="00920D18" w:rsidRDefault="00920D18" w:rsidP="008A6597">
            <w:r>
              <w:t xml:space="preserve">Clone an existing </w:t>
            </w:r>
            <w:proofErr w:type="spellStart"/>
            <w:r>
              <w:t>Worldcat</w:t>
            </w:r>
            <w:proofErr w:type="spellEnd"/>
            <w:r>
              <w:t xml:space="preserve"> record</w:t>
            </w:r>
          </w:p>
        </w:tc>
      </w:tr>
      <w:tr w:rsidR="00920D18" w:rsidTr="008A6597">
        <w:trPr>
          <w:trHeight w:val="567"/>
        </w:trPr>
        <w:tc>
          <w:tcPr>
            <w:tcW w:w="3080" w:type="dxa"/>
            <w:vAlign w:val="center"/>
          </w:tcPr>
          <w:p w:rsidR="00920D18" w:rsidRPr="005531D7" w:rsidRDefault="00920D18" w:rsidP="008A6597">
            <w:r w:rsidRPr="005531D7">
              <w:t>If no existing record is found</w:t>
            </w:r>
          </w:p>
        </w:tc>
        <w:tc>
          <w:tcPr>
            <w:tcW w:w="5533" w:type="dxa"/>
            <w:vAlign w:val="center"/>
          </w:tcPr>
          <w:p w:rsidR="00920D18" w:rsidRDefault="005531D7" w:rsidP="008A6597">
            <w:r>
              <w:t>Put item aside for two weeks, then search again</w:t>
            </w:r>
          </w:p>
        </w:tc>
      </w:tr>
      <w:tr w:rsidR="00920D18" w:rsidTr="008A6597">
        <w:trPr>
          <w:trHeight w:val="814"/>
        </w:trPr>
        <w:tc>
          <w:tcPr>
            <w:tcW w:w="3080" w:type="dxa"/>
            <w:vAlign w:val="center"/>
          </w:tcPr>
          <w:p w:rsidR="00920D18" w:rsidRPr="005531D7" w:rsidRDefault="005531D7" w:rsidP="008A6597">
            <w:r>
              <w:t>If no existing record is found after two weeks</w:t>
            </w:r>
          </w:p>
        </w:tc>
        <w:tc>
          <w:tcPr>
            <w:tcW w:w="5533" w:type="dxa"/>
            <w:vAlign w:val="center"/>
          </w:tcPr>
          <w:p w:rsidR="00920D18" w:rsidRDefault="005531D7" w:rsidP="008A6597">
            <w:r>
              <w:t xml:space="preserve">Create original catalogue record on </w:t>
            </w:r>
            <w:proofErr w:type="spellStart"/>
            <w:r>
              <w:t>Worldcat</w:t>
            </w:r>
            <w:proofErr w:type="spellEnd"/>
            <w:r>
              <w:t>. Add holding online and download to local system</w:t>
            </w:r>
          </w:p>
        </w:tc>
      </w:tr>
      <w:tr w:rsidR="00920D18" w:rsidTr="008A6597">
        <w:trPr>
          <w:trHeight w:val="840"/>
        </w:trPr>
        <w:tc>
          <w:tcPr>
            <w:tcW w:w="3080" w:type="dxa"/>
            <w:vAlign w:val="center"/>
          </w:tcPr>
          <w:p w:rsidR="00920D18" w:rsidRDefault="005531D7" w:rsidP="008A6597">
            <w:pPr>
              <w:rPr>
                <w:b/>
              </w:rPr>
            </w:pPr>
            <w:r>
              <w:rPr>
                <w:b/>
              </w:rPr>
              <w:t>4. Customisation &amp; End Processing</w:t>
            </w:r>
          </w:p>
        </w:tc>
        <w:tc>
          <w:tcPr>
            <w:tcW w:w="5533" w:type="dxa"/>
            <w:vAlign w:val="center"/>
          </w:tcPr>
          <w:p w:rsidR="005531D7" w:rsidRDefault="005531D7" w:rsidP="008A6597">
            <w:r>
              <w:t>Add</w:t>
            </w:r>
            <w:r w:rsidR="00CC7FDE">
              <w:t xml:space="preserve"> location</w:t>
            </w:r>
            <w:r>
              <w:t xml:space="preserve"> information to MARC field 852.</w:t>
            </w:r>
          </w:p>
          <w:p w:rsidR="005531D7" w:rsidRDefault="005531D7" w:rsidP="008A6597">
            <w:r>
              <w:t xml:space="preserve">Attach barcode, spine label and red tape. </w:t>
            </w:r>
          </w:p>
        </w:tc>
      </w:tr>
    </w:tbl>
    <w:p w:rsidR="005531D7" w:rsidRDefault="005531D7"/>
    <w:p w:rsidR="00F547E1" w:rsidRDefault="006D1067">
      <w:r>
        <w:lastRenderedPageBreak/>
        <w:t>As the collection is made up of</w:t>
      </w:r>
      <w:r w:rsidR="00D0021C">
        <w:t xml:space="preserve"> items that are</w:t>
      </w:r>
      <w:r>
        <w:t xml:space="preserve"> popular</w:t>
      </w:r>
      <w:r w:rsidR="00D0021C">
        <w:t xml:space="preserve"> and mass-produced</w:t>
      </w:r>
      <w:r>
        <w:t>, it is envisioned that cataloguing processes can be done through</w:t>
      </w:r>
      <w:r w:rsidR="00B5229E">
        <w:t xml:space="preserve"> more </w:t>
      </w:r>
      <w:r>
        <w:t xml:space="preserve">automated </w:t>
      </w:r>
      <w:r w:rsidR="00B5229E">
        <w:t>copy-cataloguing processes</w:t>
      </w:r>
      <w:r>
        <w:t xml:space="preserve">, and </w:t>
      </w:r>
      <w:r w:rsidR="00102042">
        <w:t>that there will not be much</w:t>
      </w:r>
      <w:r w:rsidR="00D0021C">
        <w:t xml:space="preserve"> need to create </w:t>
      </w:r>
      <w:r>
        <w:t>original catalogu</w:t>
      </w:r>
      <w:r w:rsidR="00D0021C">
        <w:t>e records</w:t>
      </w:r>
      <w:r>
        <w:t xml:space="preserve">. </w:t>
      </w:r>
      <w:r w:rsidR="00102042">
        <w:t xml:space="preserve">Overall, it is envisioned that the library should be able to achieve an 80-95% copy-cataloguing hit rate for new acquisitions (Libraries Australia, </w:t>
      </w:r>
      <w:proofErr w:type="spellStart"/>
      <w:r w:rsidR="00102042">
        <w:t>n.d</w:t>
      </w:r>
      <w:proofErr w:type="spellEnd"/>
      <w:r w:rsidR="00102042">
        <w:t xml:space="preserve">.). </w:t>
      </w:r>
      <w:r w:rsidR="0058708A">
        <w:t>The cataloguing process</w:t>
      </w:r>
      <w:r w:rsidR="008A6597">
        <w:t xml:space="preserve"> is set out in table</w:t>
      </w:r>
      <w:r w:rsidR="00D0021C">
        <w:t xml:space="preserve"> 1. </w:t>
      </w:r>
      <w:r w:rsidR="008A6597">
        <w:t>After receiving resources from the supplier, the cataloguer will</w:t>
      </w:r>
      <w:r w:rsidR="00D0021C">
        <w:t xml:space="preserve"> search for the relevant catalogue record on the local library database. If it</w:t>
      </w:r>
      <w:r w:rsidR="00B5229E">
        <w:t xml:space="preserve"> is</w:t>
      </w:r>
      <w:r w:rsidR="00D0021C">
        <w:t xml:space="preserve"> not found here, the cataloguer will search </w:t>
      </w:r>
      <w:r w:rsidR="003E70A9">
        <w:t xml:space="preserve">the </w:t>
      </w:r>
      <w:proofErr w:type="spellStart"/>
      <w:r w:rsidR="00D0021C">
        <w:t>Worldcat</w:t>
      </w:r>
      <w:proofErr w:type="spellEnd"/>
      <w:r w:rsidR="003E70A9">
        <w:t xml:space="preserve"> database</w:t>
      </w:r>
      <w:r w:rsidR="00D0021C">
        <w:t xml:space="preserve">, which is available </w:t>
      </w:r>
      <w:r w:rsidR="0058708A">
        <w:t>on</w:t>
      </w:r>
      <w:r w:rsidR="0093475C">
        <w:t xml:space="preserve"> the OCLC Connexion platform</w:t>
      </w:r>
      <w:r w:rsidR="00D0021C">
        <w:t xml:space="preserve">. </w:t>
      </w:r>
      <w:proofErr w:type="gramStart"/>
      <w:r w:rsidR="00B5229E">
        <w:t>If found, t</w:t>
      </w:r>
      <w:r w:rsidR="003E70A9">
        <w:t xml:space="preserve">he holding is to </w:t>
      </w:r>
      <w:r w:rsidR="00D0021C">
        <w:t>be added online</w:t>
      </w:r>
      <w:r w:rsidR="0058708A">
        <w:t>, and</w:t>
      </w:r>
      <w:r w:rsidR="00D0021C">
        <w:t xml:space="preserve"> the record downloaded to the </w:t>
      </w:r>
      <w:proofErr w:type="spellStart"/>
      <w:r w:rsidR="00D0021C">
        <w:t>Koha</w:t>
      </w:r>
      <w:proofErr w:type="spellEnd"/>
      <w:r w:rsidR="00D0021C">
        <w:t xml:space="preserve"> LMS.</w:t>
      </w:r>
      <w:proofErr w:type="gramEnd"/>
      <w:r w:rsidR="00D0021C">
        <w:t xml:space="preserve"> If the exact record cannot be found, the cataloguer can clone from an existing record on </w:t>
      </w:r>
      <w:proofErr w:type="spellStart"/>
      <w:r w:rsidR="00D0021C">
        <w:t>Worldcat</w:t>
      </w:r>
      <w:proofErr w:type="spellEnd"/>
      <w:r w:rsidR="00D0021C">
        <w:t xml:space="preserve">. If both the local </w:t>
      </w:r>
      <w:r w:rsidR="00B5229E">
        <w:t xml:space="preserve">library </w:t>
      </w:r>
      <w:r w:rsidR="00D0021C">
        <w:t xml:space="preserve">system and </w:t>
      </w:r>
      <w:proofErr w:type="spellStart"/>
      <w:r w:rsidR="00D0021C">
        <w:t>Worldcat</w:t>
      </w:r>
      <w:proofErr w:type="spellEnd"/>
      <w:r w:rsidR="00D0021C">
        <w:t xml:space="preserve"> do not have a </w:t>
      </w:r>
      <w:r w:rsidR="00B5229E">
        <w:t xml:space="preserve">relevant </w:t>
      </w:r>
      <w:r w:rsidR="00D0021C">
        <w:t xml:space="preserve">record, the item can be put aside for a week, after which time a </w:t>
      </w:r>
      <w:proofErr w:type="spellStart"/>
      <w:r w:rsidR="00D0021C">
        <w:t>Worldcat</w:t>
      </w:r>
      <w:proofErr w:type="spellEnd"/>
      <w:r w:rsidR="00D0021C">
        <w:t xml:space="preserve"> record may have b</w:t>
      </w:r>
      <w:r w:rsidR="00B5229E">
        <w:t>een created. After</w:t>
      </w:r>
      <w:r w:rsidR="00D0021C">
        <w:t xml:space="preserve"> two weeks</w:t>
      </w:r>
      <w:r w:rsidR="00B5229E">
        <w:t xml:space="preserve">, if a </w:t>
      </w:r>
      <w:proofErr w:type="spellStart"/>
      <w:r w:rsidR="00B5229E">
        <w:t>Worldcat</w:t>
      </w:r>
      <w:proofErr w:type="spellEnd"/>
      <w:r w:rsidR="00B5229E">
        <w:t xml:space="preserve"> record has still not been created, an original catalogue record should be made. This will stop a backlog of un</w:t>
      </w:r>
      <w:r w:rsidR="003E70A9">
        <w:t>-</w:t>
      </w:r>
      <w:r w:rsidR="00B5229E">
        <w:t>catalogued items being created.</w:t>
      </w:r>
    </w:p>
    <w:p w:rsidR="00F547E1" w:rsidRDefault="00003658">
      <w:r>
        <w:t>Two</w:t>
      </w:r>
      <w:r w:rsidR="0058708A">
        <w:t xml:space="preserve"> element</w:t>
      </w:r>
      <w:r>
        <w:t>s</w:t>
      </w:r>
      <w:r w:rsidR="0058708A">
        <w:t xml:space="preserve"> of customisation will need to be added once the record has been downloaded to the LMS. </w:t>
      </w:r>
      <w:r w:rsidR="003E70A9">
        <w:t xml:space="preserve">In the </w:t>
      </w:r>
      <w:r w:rsidR="0058708A">
        <w:t xml:space="preserve">MARC </w:t>
      </w:r>
      <w:r w:rsidR="003E70A9">
        <w:t xml:space="preserve">record, the </w:t>
      </w:r>
      <w:r w:rsidR="003E70A9" w:rsidRPr="003E70A9">
        <w:rPr>
          <w:i/>
        </w:rPr>
        <w:t>Location</w:t>
      </w:r>
      <w:r w:rsidR="003E70A9">
        <w:t xml:space="preserve"> </w:t>
      </w:r>
      <w:r w:rsidR="0058708A">
        <w:t xml:space="preserve">field 852 will need to be </w:t>
      </w:r>
      <w:r>
        <w:t>included</w:t>
      </w:r>
      <w:r w:rsidR="003E70A9">
        <w:t xml:space="preserve">, and the collection name entered ($b Teen fiction), so that library patrons will know that the </w:t>
      </w:r>
      <w:r w:rsidR="00C2283B">
        <w:t>item</w:t>
      </w:r>
      <w:r w:rsidR="003E70A9">
        <w:t xml:space="preserve"> is shelved in a separate location.</w:t>
      </w:r>
      <w:r w:rsidR="0058708A">
        <w:t xml:space="preserve"> </w:t>
      </w:r>
      <w:r>
        <w:t xml:space="preserve">As part of end processing, the librarian will </w:t>
      </w:r>
      <w:r w:rsidR="00C2283B">
        <w:t>also attach the circulation barcode</w:t>
      </w:r>
      <w:r>
        <w:t xml:space="preserve"> and create</w:t>
      </w:r>
      <w:r w:rsidR="00C2283B">
        <w:t xml:space="preserve"> the spine label</w:t>
      </w:r>
      <w:r>
        <w:t xml:space="preserve"> (SCIS</w:t>
      </w:r>
      <w:r w:rsidR="00C2283B">
        <w:t>, 2011</w:t>
      </w:r>
      <w:r>
        <w:t xml:space="preserve">). The team also proposes that red tape be put on the spine of Teen Fiction items, so as to visually differentiate the books from the general library collection.  </w:t>
      </w:r>
    </w:p>
    <w:p w:rsidR="00C2283B" w:rsidRDefault="00C2283B">
      <w:pPr>
        <w:rPr>
          <w:b/>
          <w:u w:val="single"/>
        </w:rPr>
      </w:pPr>
    </w:p>
    <w:p w:rsidR="0093475C" w:rsidRPr="0093475C" w:rsidRDefault="0093475C">
      <w:pPr>
        <w:rPr>
          <w:b/>
          <w:u w:val="single"/>
        </w:rPr>
      </w:pPr>
      <w:r w:rsidRPr="0093475C">
        <w:rPr>
          <w:b/>
          <w:u w:val="single"/>
        </w:rPr>
        <w:t>Bibliography:</w:t>
      </w:r>
    </w:p>
    <w:p w:rsidR="0093475C" w:rsidRDefault="0093475C" w:rsidP="0093475C">
      <w:proofErr w:type="gramStart"/>
      <w:r>
        <w:t>Libraries Australia.</w:t>
      </w:r>
      <w:proofErr w:type="gramEnd"/>
      <w:r>
        <w:t xml:space="preserve"> </w:t>
      </w:r>
      <w:proofErr w:type="gramStart"/>
      <w:r>
        <w:t>(</w:t>
      </w:r>
      <w:proofErr w:type="spellStart"/>
      <w:r>
        <w:t>n.d</w:t>
      </w:r>
      <w:proofErr w:type="spellEnd"/>
      <w:r>
        <w:t>.).</w:t>
      </w:r>
      <w:proofErr w:type="gramEnd"/>
      <w:r>
        <w:t xml:space="preserve"> </w:t>
      </w:r>
      <w:r w:rsidRPr="0093475C">
        <w:rPr>
          <w:i/>
        </w:rPr>
        <w:t xml:space="preserve">Cataloguing Workflows Options </w:t>
      </w:r>
      <w:proofErr w:type="gramStart"/>
      <w:r w:rsidRPr="0093475C">
        <w:rPr>
          <w:i/>
        </w:rPr>
        <w:t>For</w:t>
      </w:r>
      <w:proofErr w:type="gramEnd"/>
      <w:r w:rsidRPr="0093475C">
        <w:rPr>
          <w:i/>
        </w:rPr>
        <w:t xml:space="preserve"> Australian Libraries.</w:t>
      </w:r>
      <w:r>
        <w:rPr>
          <w:i/>
        </w:rPr>
        <w:t xml:space="preserve"> </w:t>
      </w:r>
      <w:r w:rsidRPr="0093475C">
        <w:t>Canberra</w:t>
      </w:r>
      <w:r>
        <w:t>, Australia</w:t>
      </w:r>
      <w:r w:rsidRPr="0093475C">
        <w:t>:</w:t>
      </w:r>
      <w:r>
        <w:rPr>
          <w:i/>
        </w:rPr>
        <w:t xml:space="preserve"> </w:t>
      </w:r>
      <w:r>
        <w:t xml:space="preserve">National Library of Australia. Retrieved 3 April 2012 from </w:t>
      </w:r>
      <w:hyperlink r:id="rId5" w:history="1">
        <w:r>
          <w:rPr>
            <w:rStyle w:val="Hyperlink"/>
          </w:rPr>
          <w:t>http://www.nla.gov.au/librariesaustralia/services/cataloguing/workflows/</w:t>
        </w:r>
      </w:hyperlink>
    </w:p>
    <w:p w:rsidR="00C2283B" w:rsidRDefault="00C2283B" w:rsidP="0093475C">
      <w:proofErr w:type="gramStart"/>
      <w:r>
        <w:t>SCIS.</w:t>
      </w:r>
      <w:proofErr w:type="gramEnd"/>
      <w:r>
        <w:t xml:space="preserve"> </w:t>
      </w:r>
      <w:proofErr w:type="gramStart"/>
      <w:r>
        <w:t xml:space="preserve">(2011). </w:t>
      </w:r>
      <w:r w:rsidRPr="00C2283B">
        <w:rPr>
          <w:i/>
        </w:rPr>
        <w:t>Schools Catalogue Information Servic</w:t>
      </w:r>
      <w:r>
        <w:rPr>
          <w:i/>
        </w:rPr>
        <w:t>e Web Manual–Cataloguing Workflow</w:t>
      </w:r>
      <w:r>
        <w:t>.</w:t>
      </w:r>
      <w:proofErr w:type="gramEnd"/>
      <w:r>
        <w:t xml:space="preserve"> New South Wales: Education Services Australia. Retrieved 3 April 2012 from </w:t>
      </w:r>
      <w:hyperlink r:id="rId6" w:history="1">
        <w:r>
          <w:rPr>
            <w:rStyle w:val="Hyperlink"/>
          </w:rPr>
          <w:t>http://www2.curriculum.edu.au/verve/_resources/SCISWeb_Manual_Workflow.pdf</w:t>
        </w:r>
      </w:hyperlink>
    </w:p>
    <w:p w:rsidR="00C2283B" w:rsidRDefault="00C2283B" w:rsidP="0093475C">
      <w:pPr>
        <w:rPr>
          <w:b/>
          <w:u w:val="single"/>
        </w:rPr>
      </w:pPr>
    </w:p>
    <w:p w:rsidR="0093475C" w:rsidRPr="0093475C" w:rsidRDefault="0093475C" w:rsidP="0093475C">
      <w:pPr>
        <w:rPr>
          <w:b/>
          <w:u w:val="single"/>
        </w:rPr>
      </w:pPr>
      <w:r w:rsidRPr="0093475C">
        <w:rPr>
          <w:b/>
          <w:u w:val="single"/>
        </w:rPr>
        <w:t>Website References</w:t>
      </w:r>
    </w:p>
    <w:p w:rsidR="0093475C" w:rsidRDefault="0093475C" w:rsidP="0093475C">
      <w:r>
        <w:t xml:space="preserve">OCLC Connexion </w:t>
      </w:r>
      <w:r w:rsidR="00C2283B">
        <w:t xml:space="preserve">- </w:t>
      </w:r>
      <w:hyperlink r:id="rId7" w:history="1">
        <w:r w:rsidR="00C2283B">
          <w:rPr>
            <w:rStyle w:val="Hyperlink"/>
          </w:rPr>
          <w:t>http://connexion.uk.oclc.org/</w:t>
        </w:r>
      </w:hyperlink>
    </w:p>
    <w:p w:rsidR="0093475C" w:rsidRPr="0093475C" w:rsidRDefault="0093475C" w:rsidP="0093475C"/>
    <w:p w:rsidR="0093475C" w:rsidRPr="0093475C" w:rsidRDefault="0093475C">
      <w:pPr>
        <w:rPr>
          <w:u w:val="single"/>
        </w:rPr>
      </w:pPr>
    </w:p>
    <w:sectPr w:rsidR="0093475C" w:rsidRPr="0093475C" w:rsidSect="008B3B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33C72"/>
    <w:multiLevelType w:val="hybridMultilevel"/>
    <w:tmpl w:val="2E749A3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950C8"/>
    <w:multiLevelType w:val="hybridMultilevel"/>
    <w:tmpl w:val="78D6075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01AF9"/>
    <w:multiLevelType w:val="hybridMultilevel"/>
    <w:tmpl w:val="27EE22E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11588"/>
    <w:multiLevelType w:val="hybridMultilevel"/>
    <w:tmpl w:val="4392B27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CD5C35"/>
    <w:multiLevelType w:val="hybridMultilevel"/>
    <w:tmpl w:val="596AC5A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45B3"/>
    <w:rsid w:val="00003658"/>
    <w:rsid w:val="000D7585"/>
    <w:rsid w:val="00102042"/>
    <w:rsid w:val="001565FD"/>
    <w:rsid w:val="0031084F"/>
    <w:rsid w:val="00352602"/>
    <w:rsid w:val="00371D81"/>
    <w:rsid w:val="003E70A9"/>
    <w:rsid w:val="005531D7"/>
    <w:rsid w:val="0058708A"/>
    <w:rsid w:val="005A17C6"/>
    <w:rsid w:val="006609EB"/>
    <w:rsid w:val="00685000"/>
    <w:rsid w:val="006D1067"/>
    <w:rsid w:val="006E2706"/>
    <w:rsid w:val="007448E3"/>
    <w:rsid w:val="007D45B3"/>
    <w:rsid w:val="008A6597"/>
    <w:rsid w:val="008B3BAD"/>
    <w:rsid w:val="008F799A"/>
    <w:rsid w:val="00920D18"/>
    <w:rsid w:val="0093475C"/>
    <w:rsid w:val="00B5229E"/>
    <w:rsid w:val="00B939B7"/>
    <w:rsid w:val="00BF63AE"/>
    <w:rsid w:val="00C2283B"/>
    <w:rsid w:val="00C948E0"/>
    <w:rsid w:val="00CC7FDE"/>
    <w:rsid w:val="00D0021C"/>
    <w:rsid w:val="00D93E34"/>
    <w:rsid w:val="00DF27BC"/>
    <w:rsid w:val="00E27C26"/>
    <w:rsid w:val="00F54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B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475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2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0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20D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onnexion.uk.oclc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2.curriculum.edu.au/verve/_resources/SCISWeb_Manual_Workflow.pdf" TargetMode="External"/><Relationship Id="rId5" Type="http://schemas.openxmlformats.org/officeDocument/2006/relationships/hyperlink" Target="http://www.nla.gov.au/librariesaustralia/services/cataloguing/workflow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Marianne</cp:lastModifiedBy>
  <cp:revision>5</cp:revision>
  <dcterms:created xsi:type="dcterms:W3CDTF">2012-04-03T18:44:00Z</dcterms:created>
  <dcterms:modified xsi:type="dcterms:W3CDTF">2012-04-03T19:25:00Z</dcterms:modified>
</cp:coreProperties>
</file>